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677857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F6638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189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073D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73D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сентября</w:t>
      </w:r>
      <w:r w:rsidR="0067785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1D2BD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proofErr w:type="spellStart"/>
            <w:r w:rsidR="006829A7">
              <w:rPr>
                <w:color w:val="1F497D"/>
                <w:lang w:val="en-US"/>
              </w:rPr>
              <w:t>sergey</w:t>
            </w:r>
            <w:proofErr w:type="spellEnd"/>
            <w:r w:rsidR="006829A7" w:rsidRPr="006829A7">
              <w:rPr>
                <w:color w:val="1F497D"/>
              </w:rPr>
              <w:t>.</w:t>
            </w:r>
            <w:proofErr w:type="spellStart"/>
            <w:r w:rsidR="006829A7">
              <w:rPr>
                <w:color w:val="1F497D"/>
                <w:lang w:val="en-US"/>
              </w:rPr>
              <w:t>voronov</w:t>
            </w:r>
            <w:proofErr w:type="spellEnd"/>
            <w:r w:rsidR="002450D1" w:rsidRPr="002450D1">
              <w:rPr>
                <w:color w:val="1F497D"/>
              </w:rPr>
              <w:t>@</w:t>
            </w:r>
            <w:proofErr w:type="spellStart"/>
            <w:r w:rsidR="002450D1" w:rsidRPr="002450D1">
              <w:rPr>
                <w:color w:val="1F497D"/>
                <w:lang w:val="en-US"/>
              </w:rPr>
              <w:t>rimera</w:t>
            </w:r>
            <w:proofErr w:type="spellEnd"/>
            <w:r w:rsidR="002450D1" w:rsidRPr="002450D1">
              <w:rPr>
                <w:color w:val="1F497D"/>
              </w:rPr>
              <w:t>.</w:t>
            </w:r>
            <w:r w:rsidR="002450D1" w:rsidRPr="002450D1">
              <w:rPr>
                <w:color w:val="1F497D"/>
                <w:lang w:val="en-US"/>
              </w:rPr>
              <w:t>com</w:t>
            </w:r>
          </w:p>
          <w:p w:rsidR="00876B81" w:rsidRP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8(3496)375-323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F66389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Покупка установки </w:t>
            </w:r>
            <w:r w:rsidRPr="00F663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неразрушающего контроля насосно-компрессорных и бурильных труб с транспортной системой</w:t>
            </w:r>
          </w:p>
        </w:tc>
      </w:tr>
      <w:tr w:rsidR="0006607F" w:rsidRPr="00EF77F2" w:rsidTr="006829A7">
        <w:trPr>
          <w:trHeight w:val="369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1D2BD9" w:rsidRPr="006829A7" w:rsidRDefault="00196C31" w:rsidP="006829A7">
            <w:pPr>
              <w:tabs>
                <w:tab w:val="left" w:pos="268"/>
              </w:tabs>
              <w:autoSpaceDE w:val="0"/>
              <w:autoSpaceDN w:val="0"/>
              <w:adjustRightInd w:val="0"/>
              <w:jc w:val="center"/>
            </w:pPr>
            <w:r>
              <w:t>Сайт Компании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1D2BD9" w:rsidP="002F57E8">
            <w:pPr>
              <w:rPr>
                <w:rFonts w:ascii="Arial" w:eastAsia="Calibri" w:hAnsi="Arial" w:cs="Arial"/>
                <w:lang w:eastAsia="en-US"/>
              </w:rPr>
            </w:pPr>
            <w:r w:rsidRPr="001D2BD9">
              <w:rPr>
                <w:rFonts w:ascii="Arial" w:eastAsia="Calibri" w:hAnsi="Arial" w:cs="Arial"/>
                <w:sz w:val="22"/>
                <w:szCs w:val="22"/>
              </w:rPr>
              <w:t>В соответствие с  Техническим заданием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B13629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</w:t>
            </w:r>
            <w:r w:rsidR="00C5146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F66389" w:rsidP="002F57E8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DC3574" w:rsidRPr="00DC3574" w:rsidRDefault="00DC3574" w:rsidP="001808C0">
            <w:pPr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Склад </w:t>
            </w: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DC3574" w:rsidP="001808C0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629811, Российская Федерация, Ямало-Ненецкий автономный округ, г. Ноябрьск, </w:t>
            </w:r>
            <w:proofErr w:type="spellStart"/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C5146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EF77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1D2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EF77F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1D2BD9">
        <w:trPr>
          <w:trHeight w:val="641"/>
        </w:trPr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96C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73D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6778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96C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73D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876B81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BE3AD2" w:rsidRDefault="00BE3AD2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BE3AD2">
              <w:rPr>
                <w:b/>
                <w:sz w:val="22"/>
                <w:szCs w:val="22"/>
              </w:rPr>
              <w:t>Заявки направлять на электронный ящик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3AD2">
              <w:rPr>
                <w:b/>
                <w:sz w:val="28"/>
                <w:szCs w:val="28"/>
              </w:rPr>
              <w:t>za</w:t>
            </w:r>
            <w:bookmarkStart w:id="1" w:name="_GoBack"/>
            <w:bookmarkEnd w:id="1"/>
            <w:r w:rsidRPr="00BE3AD2">
              <w:rPr>
                <w:b/>
                <w:sz w:val="28"/>
                <w:szCs w:val="28"/>
              </w:rPr>
              <w:t>kupki.rst@rimera.com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196C31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="00073D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.09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="00073D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.09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196C31" w:rsidP="00073DA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«23</w:t>
            </w:r>
            <w:r w:rsidR="00DC3574" w:rsidRPr="00DC3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73D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6829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</w:t>
            </w:r>
            <w:r w:rsidR="00DC3574" w:rsidRPr="00DC3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81211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73DAC"/>
    <w:rsid w:val="000C2765"/>
    <w:rsid w:val="000C5FE1"/>
    <w:rsid w:val="000E181E"/>
    <w:rsid w:val="000E3EA7"/>
    <w:rsid w:val="001808C0"/>
    <w:rsid w:val="00196C31"/>
    <w:rsid w:val="001D2BD9"/>
    <w:rsid w:val="001E642F"/>
    <w:rsid w:val="00217C14"/>
    <w:rsid w:val="002450D1"/>
    <w:rsid w:val="002854E4"/>
    <w:rsid w:val="002C70EB"/>
    <w:rsid w:val="002E590A"/>
    <w:rsid w:val="002F57E8"/>
    <w:rsid w:val="00301996"/>
    <w:rsid w:val="00315C9D"/>
    <w:rsid w:val="0039660C"/>
    <w:rsid w:val="003A5CDC"/>
    <w:rsid w:val="003E17EC"/>
    <w:rsid w:val="004637C5"/>
    <w:rsid w:val="00486212"/>
    <w:rsid w:val="004B6D94"/>
    <w:rsid w:val="004B73CB"/>
    <w:rsid w:val="005313CA"/>
    <w:rsid w:val="00581211"/>
    <w:rsid w:val="005D1C9B"/>
    <w:rsid w:val="00677857"/>
    <w:rsid w:val="006829A7"/>
    <w:rsid w:val="006A032F"/>
    <w:rsid w:val="006B5C34"/>
    <w:rsid w:val="006D3A29"/>
    <w:rsid w:val="006D76AB"/>
    <w:rsid w:val="007867FB"/>
    <w:rsid w:val="007C628C"/>
    <w:rsid w:val="007D7DFF"/>
    <w:rsid w:val="00851A2F"/>
    <w:rsid w:val="00866EB0"/>
    <w:rsid w:val="00876B81"/>
    <w:rsid w:val="0095750F"/>
    <w:rsid w:val="009D7A76"/>
    <w:rsid w:val="00A42E1F"/>
    <w:rsid w:val="00AB3B5B"/>
    <w:rsid w:val="00AB5544"/>
    <w:rsid w:val="00B13629"/>
    <w:rsid w:val="00B55204"/>
    <w:rsid w:val="00B66CAE"/>
    <w:rsid w:val="00BA60F6"/>
    <w:rsid w:val="00BE3AD2"/>
    <w:rsid w:val="00C07102"/>
    <w:rsid w:val="00C51466"/>
    <w:rsid w:val="00D37436"/>
    <w:rsid w:val="00D40198"/>
    <w:rsid w:val="00DC3574"/>
    <w:rsid w:val="00ED7980"/>
    <w:rsid w:val="00EE01C2"/>
    <w:rsid w:val="00EF77F2"/>
    <w:rsid w:val="00F166A4"/>
    <w:rsid w:val="00F66389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45</cp:revision>
  <cp:lastPrinted>2015-11-19T05:09:00Z</cp:lastPrinted>
  <dcterms:created xsi:type="dcterms:W3CDTF">2015-10-27T11:04:00Z</dcterms:created>
  <dcterms:modified xsi:type="dcterms:W3CDTF">2016-09-16T06:14:00Z</dcterms:modified>
</cp:coreProperties>
</file>